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广西水利电力职业技术学院</w:t>
      </w:r>
      <w:r>
        <w:rPr>
          <w:rFonts w:hint="eastAsia"/>
          <w:sz w:val="36"/>
          <w:szCs w:val="36"/>
          <w:lang w:val="en-US" w:eastAsia="zh-CN"/>
        </w:rPr>
        <w:t>公开处置报废通用设备、专用设备、家具等国有资产</w:t>
      </w: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竞标报价表</w:t>
      </w:r>
    </w:p>
    <w:tbl>
      <w:tblPr>
        <w:tblStyle w:val="3"/>
        <w:tblW w:w="14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3"/>
        <w:gridCol w:w="4487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报价单位</w:t>
            </w:r>
          </w:p>
        </w:tc>
        <w:tc>
          <w:tcPr>
            <w:tcW w:w="4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处置回收竞标总价（元）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是否已查看实物（请在方框内打“</w:t>
            </w:r>
            <w:r>
              <w:rPr>
                <w:rFonts w:hint="default" w:ascii="Arial" w:hAnsi="Arial" w:cs="Arial"/>
                <w:sz w:val="32"/>
                <w:szCs w:val="32"/>
                <w:vertAlign w:val="baseline"/>
                <w:lang w:eastAsia="zh-CN"/>
              </w:rPr>
              <w:t>√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5243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87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388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4118" w:type="dxa"/>
            <w:gridSpan w:val="3"/>
          </w:tcPr>
          <w:p>
            <w:pPr>
              <w:keepNext w:val="0"/>
              <w:keepLines w:val="0"/>
              <w:pageBreakBefore w:val="0"/>
              <w:tabs>
                <w:tab w:val="left" w:pos="1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tabs>
                <w:tab w:val="left" w:pos="1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1、本次公开处置废旧资产采用公开竞价方式进行，每个投标人按照处置清单及实物查看情况进行估值报价（总价），竞标报价只能有且只有一个报价。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/>
              <w:jc w:val="left"/>
              <w:textAlignment w:val="auto"/>
              <w:rPr>
                <w:rFonts w:hint="eastAsia" w:ascii="宋体" w:hAnsi="宋体" w:eastAsia="宋体" w:cs="宋体"/>
                <w:w w:val="98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</w:rPr>
              <w:t>每一个投标者在投标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</w:rPr>
              <w:t>须现场缴押投标保证金（现金，密封）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</w:rPr>
              <w:t>00元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</w:rPr>
              <w:t>整</w:t>
            </w:r>
            <w:r>
              <w:rPr>
                <w:rFonts w:hint="eastAsia" w:ascii="宋体" w:hAnsi="宋体" w:eastAsia="宋体" w:cs="宋体"/>
                <w:color w:val="000000"/>
                <w:w w:val="98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w w:val="98"/>
                <w:kern w:val="0"/>
                <w:sz w:val="24"/>
                <w:szCs w:val="24"/>
                <w:lang w:bidi="ar"/>
              </w:rPr>
              <w:t>开标后，未中标者，投标保证金如数退还。</w:t>
            </w:r>
            <w:r>
              <w:rPr>
                <w:rFonts w:hint="eastAsia" w:ascii="宋体" w:hAnsi="宋体" w:eastAsia="宋体" w:cs="宋体"/>
                <w:w w:val="98"/>
                <w:kern w:val="0"/>
                <w:sz w:val="24"/>
                <w:szCs w:val="24"/>
                <w:lang w:eastAsia="zh-CN" w:bidi="ar"/>
              </w:rPr>
              <w:t>中标者如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放弃中标，则投标保证金不予退还。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/>
              <w:jc w:val="left"/>
              <w:textAlignment w:val="auto"/>
              <w:rPr>
                <w:rFonts w:hint="default" w:asciiTheme="minorEastAsia" w:hAnsiTheme="minorEastAsia" w:cstheme="minorEastAsia"/>
                <w:w w:val="9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3、中标人须按成交价的50%缴纳履约保证金（公对公转账），履约保证金在实物清点结算后可转为处置款的一部分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竞价单位名称（公章）：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报价人：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报价日期：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日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4052F"/>
    <w:rsid w:val="06027081"/>
    <w:rsid w:val="0DB7520C"/>
    <w:rsid w:val="253C70CC"/>
    <w:rsid w:val="38C37EC3"/>
    <w:rsid w:val="40F97D78"/>
    <w:rsid w:val="48B4052F"/>
    <w:rsid w:val="56A60E75"/>
    <w:rsid w:val="69C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year"/>
    <w:basedOn w:val="4"/>
    <w:qFormat/>
    <w:uiPriority w:val="0"/>
    <w:rPr>
      <w:sz w:val="18"/>
      <w:szCs w:val="18"/>
    </w:rPr>
  </w:style>
  <w:style w:type="character" w:customStyle="1" w:styleId="6">
    <w:name w:val="month"/>
    <w:basedOn w:val="4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7">
    <w:name w:val="summary"/>
    <w:basedOn w:val="4"/>
    <w:qFormat/>
    <w:uiPriority w:val="0"/>
    <w:rPr>
      <w:color w:val="999999"/>
      <w:sz w:val="18"/>
      <w:szCs w:val="18"/>
    </w:rPr>
  </w:style>
  <w:style w:type="character" w:customStyle="1" w:styleId="8">
    <w:name w:val="day"/>
    <w:basedOn w:val="4"/>
    <w:qFormat/>
    <w:uiPriority w:val="0"/>
    <w:rPr>
      <w:b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2019-09-17T00:22:00Z</dcterms:created>
  <dc:creator>[资产-收发秘书]李泳</dc:creator>
  <cp:lastModifiedBy>kamassa</cp:lastModifiedBy>
  <cp:lastPrinted>2019-09-17T03:00:00Z</cp:lastPrinted>
  <dcterms:modified xsi:type="dcterms:W3CDTF">2020-07-16T04:22:29Z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